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F3" w:rsidRPr="00F571F3" w:rsidRDefault="00F571F3" w:rsidP="00F571F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proofErr w:type="spellStart"/>
      <w:r w:rsidRPr="00F57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Exercitarea</w:t>
      </w:r>
      <w:proofErr w:type="spellEnd"/>
      <w:r w:rsidRPr="00F57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profesiei</w:t>
      </w:r>
      <w:proofErr w:type="spellEnd"/>
      <w:r w:rsidRPr="00F57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 xml:space="preserve"> de medic</w:t>
      </w:r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br/>
      </w:r>
      <w:r w:rsidRPr="00F571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en-US"/>
        </w:rPr>
        <w:t xml:space="preserve">Extras din </w:t>
      </w:r>
      <w:proofErr w:type="spellStart"/>
      <w:r w:rsidRPr="00F571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en-US"/>
        </w:rPr>
        <w:t>Legea</w:t>
      </w:r>
      <w:proofErr w:type="spellEnd"/>
      <w:r w:rsidRPr="00F571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en-US"/>
        </w:rPr>
        <w:t xml:space="preserve"> 95/2006</w:t>
      </w:r>
    </w:p>
    <w:p w:rsidR="00F571F3" w:rsidRPr="00F571F3" w:rsidRDefault="00F571F3" w:rsidP="00F571F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Persoane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care pot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exercita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profesia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medic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teritoriul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României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(art. 376)</w:t>
      </w:r>
    </w:p>
    <w:p w:rsidR="00F571F3" w:rsidRPr="00F571F3" w:rsidRDefault="00F571F3" w:rsidP="00F57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cetățeni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statului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român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;</w:t>
      </w:r>
    </w:p>
    <w:p w:rsidR="00F571F3" w:rsidRPr="00F571F3" w:rsidRDefault="00F571F3" w:rsidP="00F57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cețăteni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unui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stat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membru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al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Uniunii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Europene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unui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stat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aparținând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Spațiului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Economic European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sau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Confederației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Elvețiene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;</w:t>
      </w:r>
    </w:p>
    <w:p w:rsidR="00F571F3" w:rsidRPr="00F571F3" w:rsidRDefault="00F571F3" w:rsidP="00F57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soțul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unui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cetățean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român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precum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descendenții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ascendenții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linie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directă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aflați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întreținerea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unui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cetățean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român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indiferent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cetățenia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acestora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;</w:t>
      </w:r>
    </w:p>
    <w:p w:rsidR="00F571F3" w:rsidRPr="00F571F3" w:rsidRDefault="00F571F3" w:rsidP="00F57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proofErr w:type="spellStart"/>
      <w:proofErr w:type="gram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membrii</w:t>
      </w:r>
      <w:proofErr w:type="spellEnd"/>
      <w:proofErr w:type="gram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familie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unui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cetățean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al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unuia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dintre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statele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prevăzute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la lit. b),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așa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cum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sunt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definiți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la art. 2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alin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. (1) pct. 3 din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Ordonanța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urgență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Guvernului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nr. 102/2005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privind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libera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circulație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teritoriul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României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cetățenilor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statelor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membre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ale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Uniunii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Europene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Spațiului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Economic European,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aprobată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cu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modificări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completări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prin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Legea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nr. 260/2005;</w:t>
      </w:r>
    </w:p>
    <w:p w:rsidR="00F571F3" w:rsidRPr="00F571F3" w:rsidRDefault="00F571F3" w:rsidP="00F57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cetățenii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statelor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terțe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beneficiari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statutului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rezident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permanent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România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;</w:t>
      </w:r>
    </w:p>
    <w:p w:rsidR="00F571F3" w:rsidRPr="00F571F3" w:rsidRDefault="00F571F3" w:rsidP="00F57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proofErr w:type="spellStart"/>
      <w:proofErr w:type="gram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beneficiari</w:t>
      </w:r>
      <w:proofErr w:type="spellEnd"/>
      <w:proofErr w:type="gram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statutului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rezident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termen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lung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acordat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către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unul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dintre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statele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prevăzute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la lit. b).</w:t>
      </w:r>
    </w:p>
    <w:p w:rsidR="00F571F3" w:rsidRPr="00F571F3" w:rsidRDefault="00F571F3" w:rsidP="00F571F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Profesia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medic se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exercită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teritoriul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României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către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persoanele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care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îndeplinesc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următoarele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condiții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(art. 385)</w:t>
      </w:r>
      <w:proofErr w:type="gram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:</w:t>
      </w:r>
      <w:proofErr w:type="gram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br/>
        <w:t xml:space="preserve">(1)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Profesia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medic se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exercită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teritoriul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României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către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persoanele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prevăzute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la art. 376 care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îndeplinesc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următoarele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condiții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:</w:t>
      </w:r>
    </w:p>
    <w:p w:rsidR="00F571F3" w:rsidRPr="00F571F3" w:rsidRDefault="00F571F3" w:rsidP="00F571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dețin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un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titlu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oficial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calificare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medicină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;</w:t>
      </w:r>
    </w:p>
    <w:p w:rsidR="00F571F3" w:rsidRPr="00F571F3" w:rsidRDefault="00F571F3" w:rsidP="00F571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nu se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găsesc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vreunul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dintre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cazurile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nedemnitate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sau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incompatibilitate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prevăzute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prezenta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lege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;</w:t>
      </w:r>
    </w:p>
    <w:p w:rsidR="00F571F3" w:rsidRPr="00F571F3" w:rsidRDefault="00F571F3" w:rsidP="00F571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sunt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apți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din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punct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vedere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medical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pentru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exercitarea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profesiei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medic;</w:t>
      </w:r>
    </w:p>
    <w:p w:rsidR="00F571F3" w:rsidRPr="00F571F3" w:rsidRDefault="00F571F3" w:rsidP="00F571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sunt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membri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Colegiului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Medicilor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din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România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;</w:t>
      </w:r>
    </w:p>
    <w:p w:rsidR="00F571F3" w:rsidRPr="00F571F3" w:rsidRDefault="00F571F3" w:rsidP="00F571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proofErr w:type="spellStart"/>
      <w:proofErr w:type="gram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prin</w:t>
      </w:r>
      <w:proofErr w:type="spellEnd"/>
      <w:proofErr w:type="gram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excepție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la lit. </w:t>
      </w:r>
      <w:proofErr w:type="gram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</w:t>
      </w:r>
      <w:proofErr w:type="gram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),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caz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prestare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temporară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sau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ocazională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servicii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care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întrunesc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condițiile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prevăzute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la art. 376 lit. b), d)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sau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f)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trebuie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sa</w:t>
      </w:r>
      <w:proofErr w:type="spellEnd"/>
      <w:proofErr w:type="gram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înștiințeze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Ministerul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Sănătății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Publice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cu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prestarea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temporară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sau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ocazională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servicii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medicale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teritoriul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României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fie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înregistrați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această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perioadă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Colegiul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Medicilor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din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România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.</w:t>
      </w:r>
    </w:p>
    <w:p w:rsidR="00F571F3" w:rsidRPr="00F571F3" w:rsidRDefault="00F571F3" w:rsidP="00F571F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(2)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cetățeni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unui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stat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membru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al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Uniunii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Europene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unui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stat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aparținând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Spațiului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Economic European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sau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Confederației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Elvețiene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stabiliți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teritoriul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României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precum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care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întrunesc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condițiile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prevăzute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la art. 376 lit. c)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e),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exercită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profesia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medic cu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aceleași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drepturi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obligații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ca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cetățeni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români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membri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Colegiului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Medicilor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din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România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.</w:t>
      </w:r>
    </w:p>
    <w:p w:rsidR="00F571F3" w:rsidRPr="00F571F3" w:rsidRDefault="00F571F3" w:rsidP="00F571F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proofErr w:type="spellStart"/>
      <w:r w:rsidRPr="00F57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Vizarea</w:t>
      </w:r>
      <w:proofErr w:type="spellEnd"/>
      <w:r w:rsidRPr="00F57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anuală</w:t>
      </w:r>
      <w:proofErr w:type="spellEnd"/>
      <w:r w:rsidRPr="00F57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Pr="00F57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certificatului</w:t>
      </w:r>
      <w:proofErr w:type="spellEnd"/>
      <w:r w:rsidRPr="00F57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membru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br/>
      </w:r>
      <w:r w:rsidRPr="00F571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en-US"/>
        </w:rPr>
        <w:t xml:space="preserve">Extras din </w:t>
      </w:r>
      <w:proofErr w:type="spellStart"/>
      <w:r w:rsidRPr="00F571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en-US"/>
        </w:rPr>
        <w:t>Legea</w:t>
      </w:r>
      <w:proofErr w:type="spellEnd"/>
      <w:r w:rsidRPr="00F571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en-US"/>
        </w:rPr>
        <w:t xml:space="preserve"> 95/2006</w:t>
      </w:r>
    </w:p>
    <w:p w:rsidR="00F571F3" w:rsidRPr="00F571F3" w:rsidRDefault="00F571F3" w:rsidP="00F571F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care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întrunesc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condițiile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prevăzute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la art. 376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exercită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profesia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baza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certificatului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membru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al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Colegiului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Medicilor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din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România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avizat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anual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baza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asigurării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răspundere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lastRenderedPageBreak/>
        <w:t>civilă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pentru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greșeli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activitatea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profesională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valabilă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pentru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anul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respectiv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.</w:t>
      </w:r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br/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Direcția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Sănătate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publică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nu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mai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eliberează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Autorizații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liberă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practică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acestea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nemaifiind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necesare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conform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noii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legislații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.</w:t>
      </w:r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br/>
      </w:r>
      <w:hyperlink r:id="rId5" w:history="1">
        <w:proofErr w:type="spellStart"/>
        <w:proofErr w:type="gramStart"/>
        <w:r w:rsidRPr="00F571F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en-US"/>
          </w:rPr>
          <w:t>Formular</w:t>
        </w:r>
        <w:proofErr w:type="spellEnd"/>
      </w:hyperlink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 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pentru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solicitarea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vizei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anuale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Certificatului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membru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CMR.</w:t>
      </w:r>
      <w:proofErr w:type="gramEnd"/>
    </w:p>
    <w:p w:rsidR="00F571F3" w:rsidRPr="00F571F3" w:rsidRDefault="00F571F3" w:rsidP="00F571F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proofErr w:type="spellStart"/>
      <w:r w:rsidRPr="00F57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Medicii</w:t>
      </w:r>
      <w:proofErr w:type="spellEnd"/>
      <w:r w:rsidRPr="00F57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Pr="00F57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vârsta</w:t>
      </w:r>
      <w:proofErr w:type="spellEnd"/>
      <w:r w:rsidRPr="00F57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pensionării</w:t>
      </w:r>
      <w:proofErr w:type="spellEnd"/>
    </w:p>
    <w:p w:rsidR="00F571F3" w:rsidRPr="00F571F3" w:rsidRDefault="00F571F3" w:rsidP="00F571F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(1)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se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pensionează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vârsta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prevăzută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lege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.</w:t>
      </w:r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br/>
        <w:t xml:space="preserve">(2)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unitățile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sanitare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publice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membri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titulari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corespondenți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Academiei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Române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profesori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universitari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cercetători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științifici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gradul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I,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doctori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științe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medicale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care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desfășoară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activități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medicale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pot continua, la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cerere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activitatea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medicală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până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împlinirea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vârstei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70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ani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.</w:t>
      </w:r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br/>
        <w:t xml:space="preserve">(3)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care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au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depășit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limita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vârsta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prevăzută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alin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. (1) </w:t>
      </w:r>
      <w:proofErr w:type="gram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pot</w:t>
      </w:r>
      <w:proofErr w:type="gram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profesa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continuare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unități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sanitare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private.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Desfășurarea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activității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se face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baza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certificatului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membru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avizului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anual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al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Colegiului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Medicilor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din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România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eliberat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baza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certificatului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sănătate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asigurării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răspundere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civilă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pentru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greșeli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activitatea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profesională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încheiată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pentru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anul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respectiv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.</w:t>
      </w:r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br/>
        <w:t xml:space="preserve">(4)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cazul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unităților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sanitare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publice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care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înregistrează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deficit de personal medical,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precum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al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unităților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sanitare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publice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aflate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zone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defavorizate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pot continua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activitatea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peste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vârsta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pensionare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prevăzută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lege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. </w:t>
      </w:r>
      <w:proofErr w:type="spellStart"/>
      <w:proofErr w:type="gram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Criteriile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menținere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activitate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aceste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situații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se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stabilesc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prin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norme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aprobate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prin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hotărâre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Guvernului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.</w:t>
      </w:r>
      <w:proofErr w:type="gram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br/>
        <w:t xml:space="preserve">(5)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deținuți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sau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internați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din motive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politice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aflați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situațiile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prevăzute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la art. </w:t>
      </w:r>
      <w:proofErr w:type="gram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1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alin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.</w:t>
      </w:r>
      <w:proofErr w:type="gram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(1) </w:t>
      </w:r>
      <w:proofErr w:type="spellStart"/>
      <w:proofErr w:type="gram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si</w:t>
      </w:r>
      <w:proofErr w:type="spellEnd"/>
      <w:proofErr w:type="gram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(2) din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Decretul-lege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nr. 118/1990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privind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acordarea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unor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drepturi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persoanelor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persecutate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din motive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politice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dictatura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instaurată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cu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începere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la 6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martie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1945,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precum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celor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deportate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străinătate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ori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constituite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prizonieri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republicat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cu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modificările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completările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ulterioare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pot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fi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menținuți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la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cerere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activitatea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profesională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baza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certificatului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anual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sănătate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.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Aceste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prevederi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se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aplică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medicilor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care, din motive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politice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au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fost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obligați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să</w:t>
      </w:r>
      <w:proofErr w:type="spellEnd"/>
      <w:proofErr w:type="gram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întrerupă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studiile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o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anumită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perioadă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obținându-și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licența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cu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întârziere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ori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celor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care au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fost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împiedicați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reia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activitatea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profesională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.</w:t>
      </w:r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br/>
        <w:t xml:space="preserve">(6)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care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au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împlinit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vârsta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pensionare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prevăzută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lege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nu pot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deține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funcții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conducere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cadrul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Ministerului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Sănătății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Publice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al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ministerelor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instituțiilor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centrale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cu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rețea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sanitară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proprie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al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autorităților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sănătate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publică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al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Casei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Naționale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Asigurări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Sănătate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al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caselor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județene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asigurări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sănătate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municipiului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Bucuresti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precum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cadrul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spitalelor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publice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al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oricărei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alte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unități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sanitare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publice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.</w:t>
      </w:r>
    </w:p>
    <w:p w:rsidR="00F571F3" w:rsidRPr="00F571F3" w:rsidRDefault="00F571F3" w:rsidP="00F571F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proofErr w:type="spellStart"/>
      <w:r w:rsidRPr="00F57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Nedemnități</w:t>
      </w:r>
      <w:proofErr w:type="spellEnd"/>
      <w:r w:rsidRPr="00F57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și</w:t>
      </w:r>
      <w:proofErr w:type="spellEnd"/>
      <w:r w:rsidRPr="00F57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incompatibilități</w:t>
      </w:r>
      <w:proofErr w:type="spellEnd"/>
    </w:p>
    <w:p w:rsidR="00F571F3" w:rsidRPr="00F571F3" w:rsidRDefault="00F571F3" w:rsidP="00F571F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Este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nedemn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gram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</w:t>
      </w:r>
      <w:proofErr w:type="gram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exercita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profesia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medic (art. 388):</w:t>
      </w:r>
    </w:p>
    <w:p w:rsidR="00F571F3" w:rsidRPr="00F571F3" w:rsidRDefault="00F571F3" w:rsidP="00F571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medicul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care a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fost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condamnat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definitiv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pentru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săvârșirea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cu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intenție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unei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infracțiuni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contra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umanității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sau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vieții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împrejurări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legate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exercitarea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profesiei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medic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și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pentru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care nu a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intervenit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reabilitarea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;</w:t>
      </w:r>
    </w:p>
    <w:p w:rsidR="00F571F3" w:rsidRPr="00F571F3" w:rsidRDefault="00F571F3" w:rsidP="00F571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proofErr w:type="spellStart"/>
      <w:proofErr w:type="gram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medicul</w:t>
      </w:r>
      <w:proofErr w:type="spellEnd"/>
      <w:proofErr w:type="gram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căruia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s-a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aplicat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pedeapsa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interdicției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a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exercita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profesia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durată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stabilită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prin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hotărâre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judecătorească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sau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disciplinară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.</w:t>
      </w:r>
    </w:p>
    <w:p w:rsidR="00F571F3" w:rsidRPr="00F571F3" w:rsidRDefault="00F571F3" w:rsidP="00F571F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Exercitarea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profesiei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medic </w:t>
      </w:r>
      <w:proofErr w:type="spellStart"/>
      <w:proofErr w:type="gram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este</w:t>
      </w:r>
      <w:proofErr w:type="spellEnd"/>
      <w:proofErr w:type="gram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incompatibilă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cu (art. 389):</w:t>
      </w:r>
    </w:p>
    <w:p w:rsidR="00F571F3" w:rsidRPr="00F571F3" w:rsidRDefault="00F571F3" w:rsidP="00F571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lastRenderedPageBreak/>
        <w:t>calitatea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angajat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sau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colaborator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al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unităților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producție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ori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distribuție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produse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farmaceutice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sau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materiale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sanitare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;</w:t>
      </w:r>
    </w:p>
    <w:p w:rsidR="00F571F3" w:rsidRPr="00F571F3" w:rsidRDefault="00F571F3" w:rsidP="00F571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proofErr w:type="spellStart"/>
      <w:proofErr w:type="gram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starea</w:t>
      </w:r>
      <w:proofErr w:type="spellEnd"/>
      <w:proofErr w:type="gram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sănătate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fizică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sau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psihică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necorespunzătoare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pentru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exercitarea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profesiei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medicale</w:t>
      </w:r>
      <w:proofErr w:type="spellEnd"/>
      <w:r w:rsidRPr="00F57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.</w:t>
      </w:r>
    </w:p>
    <w:p w:rsidR="00F571F3" w:rsidRPr="00F571F3" w:rsidRDefault="00F571F3" w:rsidP="00F5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hyperlink r:id="rId6" w:history="1">
        <w:r w:rsidRPr="00F571F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www.cmb.ro/" style="width:300pt;height:59pt" o:button="t"/>
          </w:pict>
        </w:r>
      </w:hyperlink>
    </w:p>
    <w:p w:rsidR="00A91EB9" w:rsidRPr="00F571F3" w:rsidRDefault="00A91E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91EB9" w:rsidRPr="00F571F3" w:rsidSect="00A91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1F68"/>
    <w:multiLevelType w:val="multilevel"/>
    <w:tmpl w:val="2496F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84485C"/>
    <w:multiLevelType w:val="multilevel"/>
    <w:tmpl w:val="4BF8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2024FC"/>
    <w:multiLevelType w:val="multilevel"/>
    <w:tmpl w:val="141C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0E36DC"/>
    <w:multiLevelType w:val="multilevel"/>
    <w:tmpl w:val="B19E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9445F1"/>
    <w:multiLevelType w:val="multilevel"/>
    <w:tmpl w:val="C84A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F571F3"/>
    <w:rsid w:val="000C7F07"/>
    <w:rsid w:val="000E630E"/>
    <w:rsid w:val="00281EA2"/>
    <w:rsid w:val="002A1140"/>
    <w:rsid w:val="005F1534"/>
    <w:rsid w:val="00A91EB9"/>
    <w:rsid w:val="00D71CBF"/>
    <w:rsid w:val="00F5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F07"/>
    <w:pPr>
      <w:spacing w:after="200" w:line="276" w:lineRule="auto"/>
    </w:pPr>
    <w:rPr>
      <w:rFonts w:cs="Calibri"/>
      <w:sz w:val="22"/>
      <w:szCs w:val="22"/>
      <w:lang w:val="ro-RO" w:eastAsia="ro-RO"/>
    </w:rPr>
  </w:style>
  <w:style w:type="paragraph" w:styleId="Heading2">
    <w:name w:val="heading 2"/>
    <w:basedOn w:val="Normal"/>
    <w:link w:val="Heading2Char"/>
    <w:uiPriority w:val="99"/>
    <w:qFormat/>
    <w:rsid w:val="000C7F0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F571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C7F07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0C7F07"/>
    <w:pPr>
      <w:spacing w:after="0" w:line="240" w:lineRule="auto"/>
      <w:ind w:left="720"/>
    </w:pPr>
    <w:rPr>
      <w:rFonts w:ascii="Cambria" w:eastAsia="MS Minngs" w:hAnsi="Cambria" w:cs="Cambria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571F3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5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locked/>
    <w:rsid w:val="00F571F3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F571F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571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21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40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7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2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6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mb.ro/" TargetMode="External"/><Relationship Id="rId5" Type="http://schemas.openxmlformats.org/officeDocument/2006/relationships/hyperlink" Target="https://www.cmb.ro/resurse/formulare/cerere-viza.anual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929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COLEGIU SALAJ</dc:creator>
  <cp:lastModifiedBy>COLEGIU SALAJ</cp:lastModifiedBy>
  <cp:revision>1</cp:revision>
  <dcterms:created xsi:type="dcterms:W3CDTF">2026-04-06T06:17:00Z</dcterms:created>
  <dcterms:modified xsi:type="dcterms:W3CDTF">2026-04-06T06:22:00Z</dcterms:modified>
</cp:coreProperties>
</file>